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86DC" w14:textId="77777777" w:rsidR="00514380" w:rsidRPr="00F06632" w:rsidRDefault="00514380" w:rsidP="00514380">
      <w:pPr>
        <w:pStyle w:val="Heading4"/>
        <w:spacing w:after="240"/>
      </w:pPr>
      <w:bookmarkStart w:id="0" w:name="_Hlk71636093"/>
      <w:bookmarkStart w:id="1" w:name="_Hlk81479703"/>
      <w:r>
        <w:t>PSE Email 1</w:t>
      </w:r>
    </w:p>
    <w:p w14:paraId="1DAF8D1A" w14:textId="77777777" w:rsidR="00514380" w:rsidRPr="00645942" w:rsidRDefault="00514380" w:rsidP="00514380">
      <w:pPr>
        <w:spacing w:after="0"/>
        <w:rPr>
          <w:i/>
          <w:iCs/>
        </w:rPr>
      </w:pPr>
      <w:r w:rsidRPr="00645942">
        <w:rPr>
          <w:i/>
          <w:iCs/>
        </w:rPr>
        <w:t>Subject line:</w:t>
      </w:r>
      <w:r w:rsidRPr="00645942">
        <w:rPr>
          <w:i/>
          <w:iCs/>
          <w:sz w:val="24"/>
          <w:szCs w:val="24"/>
        </w:rPr>
        <w:t xml:space="preserve"> </w:t>
      </w:r>
      <w:r w:rsidRPr="00645942">
        <w:rPr>
          <w:i/>
          <w:iCs/>
        </w:rPr>
        <w:t>Keep your patients on track for wellness visits</w:t>
      </w:r>
    </w:p>
    <w:p w14:paraId="72C4D67D" w14:textId="77777777" w:rsidR="00514380" w:rsidRPr="00C26240" w:rsidRDefault="00514380" w:rsidP="00514380">
      <w:pPr>
        <w:rPr>
          <w:b/>
          <w:bCs/>
          <w:color w:val="4472C4" w:themeColor="accent1"/>
          <w:sz w:val="28"/>
          <w:szCs w:val="28"/>
        </w:rPr>
      </w:pPr>
      <w:r>
        <w:rPr>
          <w:b/>
          <w:bCs/>
          <w:color w:val="4472C4" w:themeColor="accent1"/>
          <w:sz w:val="28"/>
          <w:szCs w:val="28"/>
        </w:rPr>
        <w:t>Medicare Wellness Visits: Steps to Increased Efficiency and Reimbursement</w:t>
      </w:r>
    </w:p>
    <w:p w14:paraId="04657485" w14:textId="77777777" w:rsidR="00514380" w:rsidRDefault="00514380" w:rsidP="00514380">
      <w:r>
        <w:t xml:space="preserve">Medicare wellness visits are an important opportunity for health promotion, disease screening and early detection, and advance care planning. However, billing the wrong visit at the wrong time can result in denied claims. </w:t>
      </w:r>
    </w:p>
    <w:p w14:paraId="4333D694" w14:textId="77777777" w:rsidR="00514380" w:rsidRDefault="00514380" w:rsidP="00514380">
      <w:pPr>
        <w:rPr>
          <w:rStyle w:val="Strong"/>
          <w:b w:val="0"/>
          <w:bCs w:val="0"/>
        </w:rPr>
      </w:pPr>
      <w:r>
        <w:t xml:space="preserve">There are 3 types of </w:t>
      </w:r>
      <w:hyperlink r:id="rId7" w:history="1">
        <w:r>
          <w:rPr>
            <w:rStyle w:val="Hyperlink"/>
          </w:rPr>
          <w:t>Medicare w</w:t>
        </w:r>
        <w:r>
          <w:rPr>
            <w:rStyle w:val="Hyperlink"/>
          </w:rPr>
          <w:t>ellness visits</w:t>
        </w:r>
      </w:hyperlink>
      <w:r>
        <w:rPr>
          <w:rStyle w:val="Hyperlink"/>
        </w:rPr>
        <w:t>:</w:t>
      </w:r>
      <w:r>
        <w:t xml:space="preserve"> the initial preventive physical exam (IPPE), initial annual wellness visit (AWV), and subsequent AWVs. </w:t>
      </w:r>
      <w:bookmarkStart w:id="2" w:name="_Hlk101880611"/>
      <w:r w:rsidRPr="00514380">
        <w:rPr>
          <w:rStyle w:val="Strong"/>
          <w:b w:val="0"/>
          <w:bCs w:val="0"/>
        </w:rPr>
        <w:t>To avoid denied claims and to gain efficiencies in time and resources spent on these visits, follow these simple steps:</w:t>
      </w:r>
    </w:p>
    <w:bookmarkEnd w:id="2"/>
    <w:p w14:paraId="36BBB173" w14:textId="77777777" w:rsidR="00514380" w:rsidRPr="00514380" w:rsidRDefault="00514380" w:rsidP="00514380">
      <w:pPr>
        <w:pStyle w:val="ListParagraph"/>
        <w:numPr>
          <w:ilvl w:val="0"/>
          <w:numId w:val="4"/>
        </w:numPr>
        <w:rPr>
          <w:rStyle w:val="Strong"/>
          <w:rFonts w:cstheme="minorHAnsi"/>
          <w:b w:val="0"/>
          <w:bCs w:val="0"/>
        </w:rPr>
      </w:pPr>
      <w:r w:rsidRPr="00514380">
        <w:rPr>
          <w:rStyle w:val="Strong"/>
          <w:rFonts w:cstheme="minorHAnsi"/>
        </w:rPr>
        <w:t>Step 1</w:t>
      </w:r>
      <w:r w:rsidRPr="00514380">
        <w:rPr>
          <w:rStyle w:val="Strong"/>
          <w:rFonts w:cstheme="minorHAnsi"/>
          <w:b w:val="0"/>
          <w:bCs w:val="0"/>
        </w:rPr>
        <w:t>: Use</w:t>
      </w:r>
      <w:r w:rsidRPr="00514380">
        <w:rPr>
          <w:rFonts w:cstheme="minorHAnsi"/>
          <w:b/>
          <w:bCs/>
        </w:rPr>
        <w:t xml:space="preserve"> </w:t>
      </w:r>
      <w:hyperlink r:id="rId8" w:history="1">
        <w:r w:rsidRPr="00514380">
          <w:rPr>
            <w:rStyle w:val="Hyperlink"/>
            <w:rFonts w:cstheme="minorHAnsi"/>
            <w:b/>
            <w:bCs/>
          </w:rPr>
          <w:t>myCGS</w:t>
        </w:r>
      </w:hyperlink>
      <w:r w:rsidRPr="00514380">
        <w:rPr>
          <w:rStyle w:val="Strong"/>
          <w:rFonts w:cstheme="minorHAnsi"/>
          <w:b w:val="0"/>
          <w:bCs w:val="0"/>
        </w:rPr>
        <w:t xml:space="preserve"> to check when your patient is eligible for a Medicare wellness visit. </w:t>
      </w:r>
    </w:p>
    <w:p w14:paraId="59935FC5" w14:textId="77777777" w:rsidR="00514380" w:rsidRPr="00514380" w:rsidRDefault="00514380" w:rsidP="00514380">
      <w:pPr>
        <w:pStyle w:val="ListParagraph"/>
        <w:numPr>
          <w:ilvl w:val="0"/>
          <w:numId w:val="4"/>
        </w:numPr>
        <w:rPr>
          <w:rStyle w:val="Strong"/>
          <w:rFonts w:cstheme="minorHAnsi"/>
          <w:b w:val="0"/>
          <w:bCs w:val="0"/>
        </w:rPr>
      </w:pPr>
      <w:r w:rsidRPr="00514380">
        <w:rPr>
          <w:rStyle w:val="Strong"/>
          <w:rFonts w:cstheme="minorHAnsi"/>
        </w:rPr>
        <w:t>Step 2</w:t>
      </w:r>
      <w:r w:rsidRPr="00514380">
        <w:rPr>
          <w:rStyle w:val="Strong"/>
          <w:rFonts w:cstheme="minorHAnsi"/>
          <w:b w:val="0"/>
          <w:bCs w:val="0"/>
        </w:rPr>
        <w:t>: Team up with clinical staff (e.g., RNs) who can perform part or all of a wellness visit—saving you and your patients time.</w:t>
      </w:r>
    </w:p>
    <w:p w14:paraId="05CDDDFD" w14:textId="77777777" w:rsidR="00514380" w:rsidRPr="00514380" w:rsidRDefault="00514380" w:rsidP="00514380">
      <w:pPr>
        <w:pStyle w:val="ListParagraph"/>
        <w:numPr>
          <w:ilvl w:val="0"/>
          <w:numId w:val="4"/>
        </w:numPr>
        <w:rPr>
          <w:rStyle w:val="Strong"/>
          <w:rFonts w:cstheme="minorHAnsi"/>
          <w:b w:val="0"/>
          <w:bCs w:val="0"/>
        </w:rPr>
      </w:pPr>
      <w:r w:rsidRPr="00514380">
        <w:rPr>
          <w:rStyle w:val="Strong"/>
          <w:rFonts w:cstheme="minorHAnsi"/>
        </w:rPr>
        <w:t>Step 3</w:t>
      </w:r>
      <w:r w:rsidRPr="00514380">
        <w:rPr>
          <w:rStyle w:val="Strong"/>
          <w:rFonts w:cstheme="minorHAnsi"/>
          <w:b w:val="0"/>
          <w:bCs w:val="0"/>
        </w:rPr>
        <w:t xml:space="preserve">: </w:t>
      </w:r>
      <w:hyperlink r:id="rId9" w:history="1">
        <w:r w:rsidRPr="00514380">
          <w:rPr>
            <w:rStyle w:val="Hyperlink"/>
            <w:rFonts w:cstheme="minorHAnsi"/>
            <w:b/>
            <w:bCs/>
          </w:rPr>
          <w:t xml:space="preserve">Learn </w:t>
        </w:r>
        <w:r w:rsidRPr="00514380">
          <w:rPr>
            <w:rStyle w:val="Hyperlink"/>
            <w:rFonts w:cstheme="minorHAnsi"/>
            <w:b/>
            <w:bCs/>
          </w:rPr>
          <w:t>more</w:t>
        </w:r>
      </w:hyperlink>
      <w:r w:rsidRPr="00514380">
        <w:rPr>
          <w:rStyle w:val="Strong"/>
          <w:rFonts w:cstheme="minorHAnsi"/>
          <w:b w:val="0"/>
          <w:bCs w:val="0"/>
        </w:rPr>
        <w:t xml:space="preserve"> about the 3 types of wellness visits. And remember, Medicare only covers the IPPE and initial AWV once per lifetime and the subsequent AWVs once per year.</w:t>
      </w:r>
    </w:p>
    <w:p w14:paraId="45C9E915" w14:textId="77777777" w:rsidR="00514380" w:rsidRPr="00037738" w:rsidRDefault="00514380" w:rsidP="00514380">
      <w:pPr>
        <w:rPr>
          <w:rStyle w:val="Strong"/>
          <w:b w:val="0"/>
          <w:bCs w:val="0"/>
        </w:rPr>
      </w:pPr>
      <w:r>
        <w:rPr>
          <w:rStyle w:val="Strong"/>
        </w:rPr>
        <w:t xml:space="preserve">Check out this </w:t>
      </w:r>
      <w:hyperlink r:id="rId10" w:history="1">
        <w:r w:rsidRPr="002E6691">
          <w:rPr>
            <w:rStyle w:val="Hyperlink"/>
          </w:rPr>
          <w:t>flyer</w:t>
        </w:r>
      </w:hyperlink>
      <w:r>
        <w:t xml:space="preserve"> for a summary of what is included in each Medicare wellness visit, when to provide each visit, and how to submit claims for them.</w:t>
      </w:r>
    </w:p>
    <w:p w14:paraId="4A054550" w14:textId="77777777" w:rsidR="00AB115B" w:rsidRDefault="00AB115B" w:rsidP="00AB115B">
      <w:pPr>
        <w:spacing w:after="0"/>
        <w:rPr>
          <w:rFonts w:cstheme="minorHAnsi"/>
          <w:iCs/>
        </w:rPr>
      </w:pPr>
    </w:p>
    <w:bookmarkEnd w:id="0"/>
    <w:bookmarkEnd w:id="1"/>
    <w:p w14:paraId="6D4D4273" w14:textId="0B11DB18" w:rsidR="00241B92" w:rsidRPr="001D28E4" w:rsidRDefault="00241B92">
      <w:pPr>
        <w:rPr>
          <w:rFonts w:ascii="Arial Narrow" w:eastAsia="Times New Roman" w:hAnsi="Arial Narrow" w:cstheme="majorBidi"/>
          <w:b/>
          <w:bCs/>
          <w:color w:val="404040" w:themeColor="text1" w:themeTint="BF"/>
          <w:sz w:val="28"/>
          <w:szCs w:val="28"/>
        </w:rPr>
      </w:pPr>
    </w:p>
    <w:sectPr w:rsidR="00241B92" w:rsidRPr="001D28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9D4C7" w14:textId="77777777" w:rsidR="001D28E4" w:rsidRDefault="001D28E4" w:rsidP="001D28E4">
      <w:pPr>
        <w:spacing w:after="0" w:line="240" w:lineRule="auto"/>
      </w:pPr>
      <w:r>
        <w:separator/>
      </w:r>
    </w:p>
  </w:endnote>
  <w:endnote w:type="continuationSeparator" w:id="0">
    <w:p w14:paraId="72E08BA3" w14:textId="77777777" w:rsidR="001D28E4" w:rsidRDefault="001D28E4" w:rsidP="001D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89DEC" w14:textId="77777777" w:rsidR="001D28E4" w:rsidRDefault="001D28E4" w:rsidP="001D28E4">
      <w:pPr>
        <w:spacing w:after="0" w:line="240" w:lineRule="auto"/>
      </w:pPr>
      <w:r>
        <w:separator/>
      </w:r>
    </w:p>
  </w:footnote>
  <w:footnote w:type="continuationSeparator" w:id="0">
    <w:p w14:paraId="6BA36792" w14:textId="77777777" w:rsidR="001D28E4" w:rsidRDefault="001D28E4" w:rsidP="001D2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10E"/>
    <w:multiLevelType w:val="hybridMultilevel"/>
    <w:tmpl w:val="22466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028DC"/>
    <w:multiLevelType w:val="hybridMultilevel"/>
    <w:tmpl w:val="540A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1155E"/>
    <w:multiLevelType w:val="hybridMultilevel"/>
    <w:tmpl w:val="C75E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841CE6"/>
    <w:multiLevelType w:val="hybridMultilevel"/>
    <w:tmpl w:val="CC44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279748">
    <w:abstractNumId w:val="3"/>
  </w:num>
  <w:num w:numId="2" w16cid:durableId="675576951">
    <w:abstractNumId w:val="2"/>
  </w:num>
  <w:num w:numId="3" w16cid:durableId="766312612">
    <w:abstractNumId w:val="1"/>
  </w:num>
  <w:num w:numId="4" w16cid:durableId="325207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92"/>
    <w:rsid w:val="000B6C9C"/>
    <w:rsid w:val="001501E4"/>
    <w:rsid w:val="001D28E4"/>
    <w:rsid w:val="00241B92"/>
    <w:rsid w:val="0026393D"/>
    <w:rsid w:val="00392ADA"/>
    <w:rsid w:val="00420B5F"/>
    <w:rsid w:val="00514380"/>
    <w:rsid w:val="00545F53"/>
    <w:rsid w:val="008973F9"/>
    <w:rsid w:val="00A551E3"/>
    <w:rsid w:val="00AB115B"/>
    <w:rsid w:val="00DA692D"/>
    <w:rsid w:val="00EA6917"/>
    <w:rsid w:val="00EC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ABAA"/>
  <w15:chartTrackingRefBased/>
  <w15:docId w15:val="{C023472C-BB94-4FA5-BAB0-4AB00D88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80"/>
  </w:style>
  <w:style w:type="paragraph" w:styleId="Heading4">
    <w:name w:val="heading 4"/>
    <w:basedOn w:val="Normal"/>
    <w:next w:val="Normal"/>
    <w:link w:val="Heading4Char"/>
    <w:uiPriority w:val="9"/>
    <w:unhideWhenUsed/>
    <w:qFormat/>
    <w:rsid w:val="00241B92"/>
    <w:pPr>
      <w:keepNext/>
      <w:keepLines/>
      <w:spacing w:before="40" w:after="0"/>
      <w:outlineLvl w:val="3"/>
    </w:pPr>
    <w:rPr>
      <w:rFonts w:asciiTheme="majorHAnsi" w:eastAsiaTheme="majorEastAsia" w:hAnsiTheme="majorHAnsi" w:cstheme="majorBidi"/>
      <w:b/>
      <w:b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41B92"/>
    <w:rPr>
      <w:rFonts w:asciiTheme="majorHAnsi" w:eastAsiaTheme="majorEastAsia" w:hAnsiTheme="majorHAnsi" w:cstheme="majorBidi"/>
      <w:b/>
      <w:bCs/>
      <w:color w:val="2F5496" w:themeColor="accent1" w:themeShade="BF"/>
      <w:sz w:val="24"/>
      <w:szCs w:val="24"/>
    </w:rPr>
  </w:style>
  <w:style w:type="character" w:styleId="Hyperlink">
    <w:name w:val="Hyperlink"/>
    <w:basedOn w:val="DefaultParagraphFont"/>
    <w:uiPriority w:val="99"/>
    <w:unhideWhenUsed/>
    <w:rsid w:val="00241B92"/>
    <w:rPr>
      <w:color w:val="0563C1" w:themeColor="hyperlink"/>
      <w:u w:val="single"/>
    </w:rPr>
  </w:style>
  <w:style w:type="paragraph" w:styleId="FootnoteText">
    <w:name w:val="footnote text"/>
    <w:basedOn w:val="Normal"/>
    <w:link w:val="FootnoteTextChar"/>
    <w:uiPriority w:val="99"/>
    <w:semiHidden/>
    <w:unhideWhenUsed/>
    <w:rsid w:val="001D28E4"/>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1D28E4"/>
    <w:rPr>
      <w:rFonts w:ascii="Arial" w:hAnsi="Arial"/>
      <w:sz w:val="20"/>
      <w:szCs w:val="20"/>
    </w:rPr>
  </w:style>
  <w:style w:type="character" w:styleId="FootnoteReference">
    <w:name w:val="footnote reference"/>
    <w:basedOn w:val="DefaultParagraphFont"/>
    <w:uiPriority w:val="99"/>
    <w:semiHidden/>
    <w:unhideWhenUsed/>
    <w:rsid w:val="001D28E4"/>
    <w:rPr>
      <w:vertAlign w:val="superscript"/>
    </w:rPr>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0B6C9C"/>
    <w:pPr>
      <w:ind w:left="720"/>
      <w:contextualSpacing/>
    </w:pPr>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basedOn w:val="DefaultParagraphFont"/>
    <w:link w:val="ListParagraph"/>
    <w:uiPriority w:val="34"/>
    <w:locked/>
    <w:rsid w:val="000B6C9C"/>
  </w:style>
  <w:style w:type="paragraph" w:customStyle="1" w:styleId="L3HRSA">
    <w:name w:val="L3_HRSA"/>
    <w:basedOn w:val="Normal"/>
    <w:autoRedefine/>
    <w:qFormat/>
    <w:rsid w:val="001501E4"/>
    <w:pPr>
      <w:keepNext/>
      <w:keepLines/>
      <w:spacing w:before="120" w:after="0" w:line="240" w:lineRule="auto"/>
      <w:contextualSpacing/>
      <w:outlineLvl w:val="1"/>
    </w:pPr>
    <w:rPr>
      <w:rFonts w:eastAsia="Times New Roman" w:cstheme="minorHAnsi"/>
      <w:b/>
      <w:color w:val="000000" w:themeColor="text1"/>
      <w:sz w:val="24"/>
      <w:szCs w:val="24"/>
    </w:rPr>
  </w:style>
  <w:style w:type="character" w:styleId="FollowedHyperlink">
    <w:name w:val="FollowedHyperlink"/>
    <w:basedOn w:val="DefaultParagraphFont"/>
    <w:uiPriority w:val="99"/>
    <w:semiHidden/>
    <w:unhideWhenUsed/>
    <w:rsid w:val="00420B5F"/>
    <w:rPr>
      <w:color w:val="954F72" w:themeColor="followedHyperlink"/>
      <w:u w:val="single"/>
    </w:rPr>
  </w:style>
  <w:style w:type="character" w:styleId="Strong">
    <w:name w:val="Strong"/>
    <w:basedOn w:val="DefaultParagraphFont"/>
    <w:uiPriority w:val="22"/>
    <w:qFormat/>
    <w:rsid w:val="00EA69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smedicare.com/myCGS/Index.html" TargetMode="External"/><Relationship Id="rId3" Type="http://schemas.openxmlformats.org/officeDocument/2006/relationships/settings" Target="settings.xml"/><Relationship Id="rId7" Type="http://schemas.openxmlformats.org/officeDocument/2006/relationships/hyperlink" Target="https://www.cms.gov/Outreach-and-Education/Medicare-Learning-Network-MLN/MLNProducts/preventive-services/medicare-wellness-visit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gsmedicare.com/pdf/j15/innovations/pse.pdf" TargetMode="External"/><Relationship Id="rId4" Type="http://schemas.openxmlformats.org/officeDocument/2006/relationships/webSettings" Target="webSettings.xml"/><Relationship Id="rId9" Type="http://schemas.openxmlformats.org/officeDocument/2006/relationships/hyperlink" Target="https://www.cms.gov/Outreach-and-Education/Medicare-Learning-Network-MLN/MLNProducts/preventive-services/medicare-wellness-visi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Matus</dc:creator>
  <cp:keywords/>
  <dc:description/>
  <cp:lastModifiedBy>Ashley Matus</cp:lastModifiedBy>
  <cp:revision>2</cp:revision>
  <dcterms:created xsi:type="dcterms:W3CDTF">2022-08-19T18:31:00Z</dcterms:created>
  <dcterms:modified xsi:type="dcterms:W3CDTF">2022-08-19T18:31:00Z</dcterms:modified>
</cp:coreProperties>
</file>